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b w:val="1"/>
          <w:color w:val="212529"/>
          <w:sz w:val="36"/>
          <w:szCs w:val="36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</w:rPr>
        <w:drawing>
          <wp:inline distB="0" distT="0" distL="0" distR="0">
            <wp:extent cx="2090504" cy="619125"/>
            <wp:effectExtent b="0" l="0" r="0" t="0"/>
            <wp:docPr descr="C:\Users\rvalls\web caf\Logo_CAF50_Aniversario.png" id="7" name="image1.png"/>
            <a:graphic>
              <a:graphicData uri="http://schemas.openxmlformats.org/drawingml/2006/picture">
                <pic:pic>
                  <pic:nvPicPr>
                    <pic:cNvPr descr="C:\Users\rvalls\web caf\Logo_CAF50_Aniversari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0504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color w:val="595959"/>
          <w:sz w:val="36"/>
          <w:szCs w:val="36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595959"/>
          <w:sz w:val="36"/>
          <w:szCs w:val="36"/>
          <w:highlight w:val="white"/>
          <w:rtl w:val="0"/>
        </w:rPr>
        <w:t xml:space="preserve">Nuevo curso virtual para diseñar y gestionar infraestructuras de presas y embalses</w:t>
      </w:r>
    </w:p>
    <w:p w:rsidR="00000000" w:rsidDel="00000000" w:rsidP="00000000" w:rsidRDefault="00000000" w:rsidRPr="00000000" w14:paraId="00000003">
      <w:pPr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highlight w:val="white"/>
          <w:rtl w:val="0"/>
        </w:rPr>
        <w:t xml:space="preserve">Este MOOC de CAF da una visión de los criterios más importantes para diseñar y gestionar adecuadamente las infraestructuras hídricas, y hace especial énfasis en los criterios técnicos y normativos más relevantes que garanticen una explotación segura y eficaz de presas y embalses.</w:t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  <w:color w:val="212529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rtl w:val="0"/>
        </w:rPr>
        <w:t xml:space="preserve">(Ciudad de México, 19 de febrero de 2020)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.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212529"/>
          <w:highlight w:val="white"/>
          <w:rtl w:val="0"/>
        </w:rPr>
        <w:t xml:space="preserve">El curso, desarrollado por CAF –banco de desarrollo de América Latina- y SPANCOLD (Comité Nacional Español de Grandes Presas), parte de una perspectiva teórico-práctica para abordar uno de los principales retos que enfrenta América Latina en los próximos años: cómo garantizar la seguridad hídrica.</w:t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highlight w:val="white"/>
          <w:rtl w:val="0"/>
        </w:rPr>
        <w:t xml:space="preserve">Latinoamérica es una de las regiones con mayores recursos hídricos del planeta, pero el agua está distribuida de manera heterogénea. Por eso, u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na de las medidas más efectivas para controlar tanto los excesos hidrológicos y como para cubrir los periodos de escasez, es la construcción de infraestructuras hidráulicas de almacenamiento, regulación y laminación de caudales, es decir, presas y embalses.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21252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212529"/>
          <w:u w:val="none"/>
          <w:shd w:fill="auto" w:val="clear"/>
          <w:vertAlign w:val="baseline"/>
          <w:rtl w:val="0"/>
        </w:rPr>
        <w:t xml:space="preserve">Estas infraestructuras hidráulicas son sumamente importantes desde el punto de vista técnico, económico y social, ya que contribuyen a incrementar la productividad agrícola, beneficiando a los agricultores de manera sustentable. De igual manera son elementos clave para garantizar la seguridad del abastecimiento a poblaciones, así como para generación de energía.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21252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212529"/>
          <w:u w:val="none"/>
          <w:shd w:fill="auto" w:val="clear"/>
          <w:vertAlign w:val="baseline"/>
          <w:rtl w:val="0"/>
        </w:rPr>
        <w:t xml:space="preserve">Este curso está dirigido a funcionarios públicos, técnicos o estudiantes de ingeniería. Se recomienda conocimientos básicos en: Hidráulica, Hidrología, Teoría de Estructuras, Resistencia de Materiales, Hormigón, Geología y Geotecnia.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  <w:color w:val="212529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highlight w:val="white"/>
          <w:rtl w:val="0"/>
        </w:rPr>
        <w:t xml:space="preserve">Las inscripciones estarán abiertas hasta el 31 de marzo, y el curso comienza el 23 de marzo. El enfoque es práctico y dinámico, gracias a la combinación de textos didácticos, recomendaciones, ejemplos, videos, casos prácticos, ejercicios, lecturas recomendadas y evaluaciones. Tiene una duración de 36 horas de estudio, y está pensado para que se compagine con el ejercicio profesional.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color w:val="212529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highlight w:val="white"/>
          <w:rtl w:val="0"/>
        </w:rPr>
        <w:t xml:space="preserve">Para obtener más información y registrarte, 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563c1"/>
            <w:highlight w:val="white"/>
            <w:u w:val="single"/>
            <w:rtl w:val="0"/>
          </w:rPr>
          <w:t xml:space="preserve">ingresa a la página del curso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Rule="auto"/>
        <w:ind w:left="0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14 bancos privados, es una de las principales fuentes de financiamiento multilateral y un importante generador de conocimiento para la región. Más información en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00"/>
            <w:sz w:val="18"/>
            <w:szCs w:val="18"/>
            <w:u w:val="single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Rule="auto"/>
        <w:jc w:val="both"/>
        <w:rPr>
          <w:rFonts w:ascii="Arial Narrow" w:cs="Arial Narrow" w:eastAsia="Arial Narrow" w:hAnsi="Arial Narrow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CAF,  Dirección de Comunicación Estratégica,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563c1"/>
            <w:sz w:val="18"/>
            <w:szCs w:val="18"/>
            <w:u w:val="single"/>
            <w:rtl w:val="0"/>
          </w:rPr>
          <w:t xml:space="preserve">prensa@caf.com</w:t>
        </w:r>
      </w:hyperlink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br w:type="textWrapping"/>
        <w:t xml:space="preserve">Encuéntrenos en: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Facebook: </w:t>
      </w:r>
      <w:hyperlink r:id="rId11">
        <w:r w:rsidDel="00000000" w:rsidR="00000000" w:rsidRPr="00000000">
          <w:rPr>
            <w:rFonts w:ascii="Arial Narrow" w:cs="Arial Narrow" w:eastAsia="Arial Narrow" w:hAnsi="Arial Narrow"/>
            <w:color w:val="0563c1"/>
            <w:sz w:val="18"/>
            <w:szCs w:val="18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 / 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Twitter: @AgendaCAF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A57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 w:val="1"/>
    <w:rsid w:val="00BF7E6C"/>
    <w:rPr>
      <w:b w:val="1"/>
      <w:bCs w:val="1"/>
    </w:rPr>
  </w:style>
  <w:style w:type="character" w:styleId="Hipervnculo">
    <w:name w:val="Hyperlink"/>
    <w:basedOn w:val="Fuentedeprrafopredeter"/>
    <w:uiPriority w:val="99"/>
    <w:unhideWhenUsed w:val="1"/>
    <w:rsid w:val="00BF7E6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253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253B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253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253B1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253B1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253B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253B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CAF.America.Latina" TargetMode="External"/><Relationship Id="rId10" Type="http://schemas.openxmlformats.org/officeDocument/2006/relationships/hyperlink" Target="mailto:prensa@caf.com" TargetMode="External"/><Relationship Id="rId9" Type="http://schemas.openxmlformats.org/officeDocument/2006/relationships/hyperlink" Target="http://www.caf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f.com/es/actualidad/capacitacion/2020/03/diseno-explotacion-y-seguridad-de-presas-y-embals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Lwckxxs7oUOcTvW/NFMnfjvuAw==">AMUW2mX8C8CCyZYthIW5keOWoFuZjYkKnA/pHR3JQ1VNCs8lo+83VdexVCp/ziSpQ23JER8m/u8nydY422Nw7tREYX6wLfm4xkMKZtgcKiziABpZkrwnYqx+U4LHbKrF11jEOKQ9Py1Q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2020-02-18T21:59:00Z</dcterms:created>
  <dc:creator>VALLS, ROBERT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265ac116-a949-47e4-acfc-df9759ba2e98</vt:lpwstr>
  </property>
</Properties>
</file>